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199" w:lineRule="auto"/>
        <w:jc w:val="center"/>
        <w:rPr>
          <w:rFonts w:ascii="Avenir" w:cs="Avenir" w:eastAsia="Avenir" w:hAnsi="Avenir"/>
          <w:b w:val="1"/>
          <w:color w:val="000000"/>
          <w:sz w:val="60"/>
          <w:szCs w:val="6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60"/>
          <w:szCs w:val="60"/>
          <w:rtl w:val="0"/>
        </w:rPr>
        <w:t xml:space="preserve">Risk Assessment Form Template </w:t>
      </w:r>
    </w:p>
    <w:p w:rsidR="00000000" w:rsidDel="00000000" w:rsidP="00000000" w:rsidRDefault="00000000" w:rsidRPr="00000000" w14:paraId="00000002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Risk Description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33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If a staff member trips on a wet floor, they may injure themselves and subsequently sue the company.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8080"/>
        <w:gridCol w:w="950"/>
        <w:tblGridChange w:id="0">
          <w:tblGrid>
            <w:gridCol w:w="8080"/>
            <w:gridCol w:w="9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Risk Type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Financial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Operational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Reputational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Human Safety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Source of Risk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7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Open drink containers and leaking air conditioning units.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right="140.6692913385831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</w:rPr>
        <w:drawing>
          <wp:inline distB="114300" distT="114300" distL="114300" distR="114300">
            <wp:extent cx="5802113" cy="305929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60558" l="1905" r="2043" t="3798"/>
                    <a:stretch>
                      <a:fillRect/>
                    </a:stretch>
                  </pic:blipFill>
                  <pic:spPr>
                    <a:xfrm>
                      <a:off x="0" y="0"/>
                      <a:ext cx="5802113" cy="3059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150.0" w:type="dxa"/>
        <w:tblBorders>
          <w:top w:color="35354b" w:space="0" w:sz="12" w:val="single"/>
          <w:left w:color="35354b" w:space="0" w:sz="12" w:val="single"/>
          <w:bottom w:color="35354b" w:space="0" w:sz="12" w:val="single"/>
          <w:right w:color="35354b" w:space="0" w:sz="12" w:val="single"/>
          <w:insideH w:color="35354b" w:space="0" w:sz="12" w:val="single"/>
          <w:insideV w:color="35354b" w:space="0" w:sz="12" w:val="single"/>
        </w:tblBorders>
        <w:tblLayout w:type="fixed"/>
        <w:tblLook w:val="0000"/>
      </w:tblPr>
      <w:tblGrid>
        <w:gridCol w:w="2815"/>
        <w:gridCol w:w="6215"/>
        <w:tblGridChange w:id="0">
          <w:tblGrid>
            <w:gridCol w:w="2815"/>
            <w:gridCol w:w="6215"/>
          </w:tblGrid>
        </w:tblGridChange>
      </w:tblGrid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Risk Severity Level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75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3750"/>
        <w:gridCol w:w="2055"/>
        <w:gridCol w:w="2265"/>
        <w:gridCol w:w="975"/>
        <w:tblGridChange w:id="0">
          <w:tblGrid>
            <w:gridCol w:w="3750"/>
            <w:gridCol w:w="2055"/>
            <w:gridCol w:w="2265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fe3eb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Actions to Mitigate Risk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.8" w:hRule="atLeast"/>
          <w:tblHeader w:val="0"/>
        </w:trPr>
        <w:tc>
          <w:tcPr>
            <w:shd w:fill="2d3e50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Risk Addressed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Person Responsible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Due Date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Check floors every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Cleaner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08/30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Email staff and ask them not to walk around with open containers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Office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08/30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Repair leaking air conditioning 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Maintenance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08/30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Ind w:w="150.0" w:type="dxa"/>
        <w:tblBorders>
          <w:top w:color="35354b" w:space="0" w:sz="12" w:val="single"/>
          <w:left w:color="35354b" w:space="0" w:sz="12" w:val="single"/>
          <w:bottom w:color="35354b" w:space="0" w:sz="12" w:val="single"/>
          <w:right w:color="35354b" w:space="0" w:sz="12" w:val="single"/>
          <w:insideH w:color="35354b" w:space="0" w:sz="12" w:val="single"/>
          <w:insideV w:color="35354b" w:space="0" w:sz="12" w:val="single"/>
        </w:tblBorders>
        <w:tblLayout w:type="fixed"/>
        <w:tblLook w:val="0000"/>
      </w:tblPr>
      <w:tblGrid>
        <w:gridCol w:w="1348"/>
        <w:gridCol w:w="3527"/>
        <w:gridCol w:w="4155"/>
        <w:tblGridChange w:id="0">
          <w:tblGrid>
            <w:gridCol w:w="1348"/>
            <w:gridCol w:w="3527"/>
            <w:gridCol w:w="4155"/>
          </w:tblGrid>
        </w:tblGridChange>
      </w:tblGrid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Date Reviewed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Approving Official</w:t>
            </w: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08/30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J. Doe, CEO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Comments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The level of compliance has been high, but the risk requires constant monitoring.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120" w:before="120" w:line="199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2d3e5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5" w:w="11910" w:orient="portrait"/>
      <w:pgMar w:bottom="1440" w:top="1440" w:left="1559.0551181102362" w:right="85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